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97" w:rsidRDefault="00976597" w:rsidP="00976597">
      <w:bookmarkStart w:id="0" w:name="_GoBack"/>
      <w:r>
        <w:t xml:space="preserve">Greetings, </w:t>
      </w:r>
    </w:p>
    <w:p w:rsidR="00976597" w:rsidRDefault="00976597" w:rsidP="00976597"/>
    <w:p w:rsidR="004A1688" w:rsidRDefault="00AF7F06" w:rsidP="00976597">
      <w:r>
        <w:t>The time has come</w:t>
      </w:r>
      <w:r w:rsidR="00976597">
        <w:t xml:space="preserve"> to submit </w:t>
      </w:r>
      <w:r w:rsidR="0073674C" w:rsidRPr="004A51C3">
        <w:rPr>
          <w:b/>
        </w:rPr>
        <w:t xml:space="preserve">THDA </w:t>
      </w:r>
      <w:r w:rsidR="006847F8" w:rsidRPr="0073674C">
        <w:rPr>
          <w:b/>
        </w:rPr>
        <w:t xml:space="preserve">Technical Assistance Grant </w:t>
      </w:r>
      <w:r w:rsidR="00976597" w:rsidRPr="0073674C">
        <w:rPr>
          <w:b/>
        </w:rPr>
        <w:t>applications</w:t>
      </w:r>
      <w:r>
        <w:t xml:space="preserve"> for </w:t>
      </w:r>
      <w:r w:rsidR="00976597">
        <w:t>201</w:t>
      </w:r>
      <w:r w:rsidR="00E55BF0">
        <w:t>9</w:t>
      </w:r>
      <w:r w:rsidR="00976597">
        <w:t>-</w:t>
      </w:r>
      <w:r w:rsidR="00E55BF0">
        <w:t>20</w:t>
      </w:r>
      <w:r w:rsidR="00FF1D42">
        <w:t xml:space="preserve">, which will be due by the close of business </w:t>
      </w:r>
      <w:r w:rsidR="00FF1D42" w:rsidRPr="00FF1D42">
        <w:rPr>
          <w:b/>
        </w:rPr>
        <w:t xml:space="preserve">June </w:t>
      </w:r>
      <w:r w:rsidR="00503E94" w:rsidRPr="00FF1D42">
        <w:rPr>
          <w:b/>
        </w:rPr>
        <w:t>1</w:t>
      </w:r>
      <w:r w:rsidR="00503E94">
        <w:rPr>
          <w:b/>
        </w:rPr>
        <w:t>7</w:t>
      </w:r>
      <w:r w:rsidR="00FF1D42" w:rsidRPr="00FF1D42">
        <w:rPr>
          <w:b/>
        </w:rPr>
        <w:t xml:space="preserve">, </w:t>
      </w:r>
      <w:r w:rsidR="00E55BF0" w:rsidRPr="00FF1D42">
        <w:rPr>
          <w:b/>
        </w:rPr>
        <w:t>201</w:t>
      </w:r>
      <w:r w:rsidR="00E55BF0">
        <w:rPr>
          <w:b/>
        </w:rPr>
        <w:t>9</w:t>
      </w:r>
      <w:r w:rsidR="00976597">
        <w:t>.</w:t>
      </w:r>
      <w:r w:rsidR="004A1688">
        <w:t xml:space="preserve">  </w:t>
      </w:r>
      <w:r w:rsidR="006B0776">
        <w:t xml:space="preserve"> </w:t>
      </w:r>
    </w:p>
    <w:p w:rsidR="00AF7F06" w:rsidRPr="004A51C3" w:rsidRDefault="00EE6F09" w:rsidP="00976597">
      <w:r w:rsidRPr="004A51C3">
        <w:t>Here are the key deadlines to keep in mind as we work to set up the coming year and close out the current.</w:t>
      </w:r>
    </w:p>
    <w:p w:rsidR="00AF7F06" w:rsidRPr="00EE6F09" w:rsidRDefault="00AF7F06" w:rsidP="004A51C3">
      <w:pPr>
        <w:pStyle w:val="ListParagraph"/>
        <w:numPr>
          <w:ilvl w:val="0"/>
          <w:numId w:val="5"/>
        </w:numPr>
        <w:rPr>
          <w:b/>
        </w:rPr>
      </w:pPr>
      <w:r>
        <w:t>20</w:t>
      </w:r>
      <w:r w:rsidR="007A4990">
        <w:t>19</w:t>
      </w:r>
      <w:r>
        <w:t>-</w:t>
      </w:r>
      <w:r w:rsidR="007A4990">
        <w:t>20</w:t>
      </w:r>
      <w:r>
        <w:t xml:space="preserve"> </w:t>
      </w:r>
      <w:r w:rsidR="00EE6F09">
        <w:t>f</w:t>
      </w:r>
      <w:r>
        <w:t xml:space="preserve">ully </w:t>
      </w:r>
      <w:r w:rsidR="00EE6F09">
        <w:t>e</w:t>
      </w:r>
      <w:r>
        <w:t xml:space="preserve">xecuted </w:t>
      </w:r>
      <w:r w:rsidR="00EE6F09">
        <w:t>c</w:t>
      </w:r>
      <w:r>
        <w:t xml:space="preserve">ontract- </w:t>
      </w:r>
      <w:r w:rsidRPr="00EE6F09">
        <w:rPr>
          <w:b/>
        </w:rPr>
        <w:t xml:space="preserve">June 30, </w:t>
      </w:r>
      <w:r w:rsidR="00E55BF0" w:rsidRPr="00EE6F09">
        <w:rPr>
          <w:b/>
        </w:rPr>
        <w:t>201</w:t>
      </w:r>
      <w:r w:rsidR="00E55BF0">
        <w:rPr>
          <w:b/>
        </w:rPr>
        <w:t>9</w:t>
      </w:r>
    </w:p>
    <w:p w:rsidR="009463C6" w:rsidRPr="009463C6" w:rsidRDefault="00EE6F09" w:rsidP="004A51C3">
      <w:pPr>
        <w:pStyle w:val="ListParagraph"/>
        <w:numPr>
          <w:ilvl w:val="0"/>
          <w:numId w:val="5"/>
        </w:numPr>
      </w:pPr>
      <w:r>
        <w:t>201</w:t>
      </w:r>
      <w:r w:rsidR="007A4990">
        <w:t>9</w:t>
      </w:r>
      <w:r>
        <w:t>-20</w:t>
      </w:r>
      <w:r w:rsidR="007A4990">
        <w:t>20</w:t>
      </w:r>
      <w:r>
        <w:t xml:space="preserve"> Housing Technical Assistance Plan finalized</w:t>
      </w:r>
      <w:r w:rsidR="009463C6">
        <w:t xml:space="preserve"> – </w:t>
      </w:r>
      <w:r w:rsidR="009463C6" w:rsidRPr="00EE6F09">
        <w:rPr>
          <w:b/>
        </w:rPr>
        <w:t xml:space="preserve">June 30, </w:t>
      </w:r>
      <w:r w:rsidR="00E55BF0" w:rsidRPr="00EE6F09">
        <w:rPr>
          <w:b/>
        </w:rPr>
        <w:t>201</w:t>
      </w:r>
      <w:r w:rsidR="00E55BF0">
        <w:rPr>
          <w:b/>
        </w:rPr>
        <w:t>9</w:t>
      </w:r>
    </w:p>
    <w:p w:rsidR="004A1688" w:rsidRPr="007A4990" w:rsidRDefault="005B468C" w:rsidP="004A51C3">
      <w:pPr>
        <w:pStyle w:val="ListParagraph"/>
        <w:numPr>
          <w:ilvl w:val="0"/>
          <w:numId w:val="5"/>
        </w:numPr>
      </w:pPr>
      <w:r>
        <w:t>Year-end</w:t>
      </w:r>
      <w:r w:rsidR="004A1688">
        <w:t xml:space="preserve"> </w:t>
      </w:r>
      <w:r w:rsidR="00EE6F09">
        <w:t>i</w:t>
      </w:r>
      <w:r w:rsidR="004A1688">
        <w:t xml:space="preserve">nvoice </w:t>
      </w:r>
      <w:r w:rsidR="00EE6F09">
        <w:t>s</w:t>
      </w:r>
      <w:r w:rsidR="004A1688">
        <w:t xml:space="preserve">ubmittal – </w:t>
      </w:r>
      <w:r w:rsidR="004A1688" w:rsidRPr="00EE6F09">
        <w:rPr>
          <w:b/>
        </w:rPr>
        <w:t xml:space="preserve">July 9, </w:t>
      </w:r>
      <w:r w:rsidR="00E55BF0" w:rsidRPr="00EE6F09">
        <w:rPr>
          <w:b/>
        </w:rPr>
        <w:t>201</w:t>
      </w:r>
      <w:r w:rsidR="00E55BF0">
        <w:rPr>
          <w:b/>
        </w:rPr>
        <w:t>9</w:t>
      </w:r>
    </w:p>
    <w:p w:rsidR="007A4990" w:rsidRDefault="007A4990" w:rsidP="007A4990"/>
    <w:p w:rsidR="007A4990" w:rsidRPr="004A51C3" w:rsidRDefault="007A4990" w:rsidP="007A4990">
      <w:r>
        <w:t>You will find the 2019-2020 Technical Assistance Grant Application attached to this email.</w:t>
      </w:r>
    </w:p>
    <w:p w:rsidR="003E1CFF" w:rsidRDefault="003E1CFF" w:rsidP="00976597"/>
    <w:p w:rsidR="00EE6F09" w:rsidRPr="004A51C3" w:rsidRDefault="00EE6F09" w:rsidP="003E1CFF">
      <w:pPr>
        <w:rPr>
          <w:b/>
        </w:rPr>
      </w:pPr>
      <w:r w:rsidRPr="004A51C3">
        <w:rPr>
          <w:b/>
        </w:rPr>
        <w:t xml:space="preserve">General Guidance in Preparing the </w:t>
      </w:r>
      <w:r w:rsidR="00503E94" w:rsidRPr="004A51C3">
        <w:rPr>
          <w:b/>
        </w:rPr>
        <w:t>20</w:t>
      </w:r>
      <w:r w:rsidR="00503E94">
        <w:rPr>
          <w:b/>
        </w:rPr>
        <w:t>19</w:t>
      </w:r>
      <w:r w:rsidRPr="004A51C3">
        <w:rPr>
          <w:b/>
        </w:rPr>
        <w:t>-</w:t>
      </w:r>
      <w:r w:rsidR="00503E94" w:rsidRPr="004A51C3">
        <w:rPr>
          <w:b/>
        </w:rPr>
        <w:t>20</w:t>
      </w:r>
      <w:r w:rsidR="00503E94">
        <w:rPr>
          <w:b/>
        </w:rPr>
        <w:t xml:space="preserve">20 </w:t>
      </w:r>
      <w:r w:rsidRPr="004A51C3">
        <w:rPr>
          <w:b/>
        </w:rPr>
        <w:t>Housing Technical Assistance Plan</w:t>
      </w:r>
    </w:p>
    <w:p w:rsidR="00EE6F09" w:rsidRDefault="00EE6F09" w:rsidP="003E1CFF"/>
    <w:p w:rsidR="00621626" w:rsidRDefault="00C8015E" w:rsidP="003E1CFF">
      <w:r>
        <w:t>As a reminder</w:t>
      </w:r>
      <w:r w:rsidR="00406338">
        <w:t xml:space="preserve">, we ask for you to describe your proposed activities </w:t>
      </w:r>
      <w:r w:rsidR="00303A01">
        <w:t xml:space="preserve">for the year </w:t>
      </w:r>
      <w:r w:rsidR="00406338">
        <w:t xml:space="preserve">in </w:t>
      </w:r>
      <w:r w:rsidR="00303A01">
        <w:t>Housing Technical Assistance Plan</w:t>
      </w:r>
      <w:r w:rsidR="00406338">
        <w:t xml:space="preserve"> that is incorporated into your contract</w:t>
      </w:r>
      <w:r w:rsidR="00E97227">
        <w:t xml:space="preserve"> as ‘Schedule A’</w:t>
      </w:r>
      <w:r w:rsidR="00406338">
        <w:t xml:space="preserve">. </w:t>
      </w:r>
      <w:r w:rsidR="00EE6F09">
        <w:t>The structure of the Housing Technical Assistance Plan remains generally the same as in recent years, divided between pre-determined</w:t>
      </w:r>
      <w:r w:rsidR="00EE48E3">
        <w:t xml:space="preserve"> required</w:t>
      </w:r>
      <w:r w:rsidR="00EE6F09">
        <w:t xml:space="preserve"> “routine” activities and more regionally responsive</w:t>
      </w:r>
      <w:r w:rsidR="007A4990">
        <w:t xml:space="preserve"> discretionary </w:t>
      </w:r>
      <w:r w:rsidR="00EE6F09">
        <w:t>“non-routine” activities</w:t>
      </w:r>
      <w:r w:rsidR="00CA4D6F">
        <w:t xml:space="preserve"> designed by the respective Development District</w:t>
      </w:r>
      <w:r w:rsidR="00EE6F09">
        <w:t xml:space="preserve">. As you design your Development District’s Housing Technical Assistance Plan, </w:t>
      </w:r>
      <w:r w:rsidR="00621626">
        <w:t xml:space="preserve">please keep in mind that these activities, once approved, will define your eligible expenses for the </w:t>
      </w:r>
      <w:r w:rsidR="007A4990">
        <w:t xml:space="preserve">discretionary </w:t>
      </w:r>
      <w:r w:rsidR="00621626">
        <w:t xml:space="preserve">portion of the grant. </w:t>
      </w:r>
      <w:r w:rsidR="00EE6F09">
        <w:t xml:space="preserve"> </w:t>
      </w:r>
      <w:r w:rsidR="003E1CFF">
        <w:t xml:space="preserve">If activities </w:t>
      </w:r>
      <w:r w:rsidR="00303A01">
        <w:t xml:space="preserve">in the approved Plan </w:t>
      </w:r>
      <w:r w:rsidR="00621626">
        <w:t>need to be revised</w:t>
      </w:r>
      <w:r w:rsidR="00E97227">
        <w:t xml:space="preserve"> during the contract year</w:t>
      </w:r>
      <w:r w:rsidR="003E1CFF">
        <w:t>, reach out to me so we can discuss amending the housing plan</w:t>
      </w:r>
      <w:r w:rsidR="00621626">
        <w:t xml:space="preserve"> prior to incurring expenditures on anything not contained in the </w:t>
      </w:r>
      <w:r w:rsidR="00CA4D6F">
        <w:t xml:space="preserve">approved </w:t>
      </w:r>
      <w:r w:rsidR="00621626">
        <w:t>Housing Technical Assistance Plan</w:t>
      </w:r>
      <w:r w:rsidR="003E1CFF">
        <w:t>.</w:t>
      </w:r>
      <w:r w:rsidR="006353B0">
        <w:t xml:space="preserve"> Refer to the checklist under item five of the Grant Application as to how the plan should be structured.</w:t>
      </w:r>
      <w:r w:rsidR="003E1CFF">
        <w:t xml:space="preserve">  </w:t>
      </w:r>
    </w:p>
    <w:p w:rsidR="00621626" w:rsidRDefault="00621626" w:rsidP="003E1CFF"/>
    <w:p w:rsidR="004871C8" w:rsidRDefault="00E55BF0" w:rsidP="006754D0">
      <w:pPr>
        <w:rPr>
          <w:b/>
        </w:rPr>
      </w:pPr>
      <w:r w:rsidRPr="00886127">
        <w:rPr>
          <w:b/>
        </w:rPr>
        <w:t>201</w:t>
      </w:r>
      <w:r>
        <w:rPr>
          <w:b/>
        </w:rPr>
        <w:t>9</w:t>
      </w:r>
      <w:r w:rsidR="006754D0" w:rsidRPr="00886127">
        <w:rPr>
          <w:b/>
        </w:rPr>
        <w:t>-</w:t>
      </w:r>
      <w:r>
        <w:rPr>
          <w:b/>
        </w:rPr>
        <w:t>20</w:t>
      </w:r>
      <w:r w:rsidR="006754D0" w:rsidRPr="00886127">
        <w:rPr>
          <w:b/>
        </w:rPr>
        <w:t xml:space="preserve"> Updates</w:t>
      </w:r>
      <w:r w:rsidR="006754D0">
        <w:rPr>
          <w:b/>
        </w:rPr>
        <w:t xml:space="preserve"> and Changes to the TA Grant</w:t>
      </w:r>
    </w:p>
    <w:p w:rsidR="004871C8" w:rsidRDefault="004871C8" w:rsidP="006754D0">
      <w:pPr>
        <w:rPr>
          <w:b/>
        </w:rPr>
      </w:pPr>
      <w:r>
        <w:rPr>
          <w:b/>
        </w:rPr>
        <w:t xml:space="preserve">          </w:t>
      </w:r>
    </w:p>
    <w:p w:rsidR="004871C8" w:rsidRDefault="004871C8" w:rsidP="006754D0">
      <w:pPr>
        <w:rPr>
          <w:b/>
        </w:rPr>
      </w:pPr>
      <w:r>
        <w:rPr>
          <w:b/>
        </w:rPr>
        <w:lastRenderedPageBreak/>
        <w:t xml:space="preserve">              </w:t>
      </w:r>
    </w:p>
    <w:p w:rsidR="00E97227" w:rsidRPr="004871C8" w:rsidRDefault="00303A01" w:rsidP="00E97227">
      <w:pPr>
        <w:pStyle w:val="ListParagraph"/>
        <w:numPr>
          <w:ilvl w:val="0"/>
          <w:numId w:val="7"/>
        </w:numPr>
      </w:pPr>
      <w:r>
        <w:t xml:space="preserve">A </w:t>
      </w:r>
      <w:r w:rsidR="00E97227">
        <w:t xml:space="preserve">Four-Factor </w:t>
      </w:r>
      <w:r>
        <w:t>Limited English Proficiency (</w:t>
      </w:r>
      <w:r w:rsidR="00E97227">
        <w:t>LEP</w:t>
      </w:r>
      <w:r>
        <w:t>)</w:t>
      </w:r>
      <w:r w:rsidR="00E97227">
        <w:t xml:space="preserve"> Analysis </w:t>
      </w:r>
      <w:r w:rsidR="00671FD8">
        <w:t xml:space="preserve">for your district </w:t>
      </w:r>
      <w:r w:rsidR="00E97227">
        <w:t xml:space="preserve">will be required to </w:t>
      </w:r>
      <w:r w:rsidR="00B92BF5">
        <w:t xml:space="preserve">assist </w:t>
      </w:r>
      <w:r w:rsidR="00671FD8">
        <w:t xml:space="preserve">your </w:t>
      </w:r>
      <w:r w:rsidR="00B92BF5">
        <w:t>county and local governments</w:t>
      </w:r>
      <w:r w:rsidR="00671FD8">
        <w:t>, non-profits serving the</w:t>
      </w:r>
      <w:r w:rsidR="00B92BF5">
        <w:t xml:space="preserve"> area and others on what language accommodations must be made in affordable housing programs, based on the Civil Rights Act of 1964. More information on the expectations of this requirement is in the attached application document. Please note this will be required once every five years. </w:t>
      </w:r>
    </w:p>
    <w:p w:rsidR="00E97227" w:rsidRDefault="00E97227" w:rsidP="00B92BF5">
      <w:pPr>
        <w:pStyle w:val="ListParagraph"/>
      </w:pPr>
    </w:p>
    <w:p w:rsidR="004871C8" w:rsidRDefault="00671FD8" w:rsidP="004871C8">
      <w:pPr>
        <w:pStyle w:val="ListParagraph"/>
        <w:numPr>
          <w:ilvl w:val="0"/>
          <w:numId w:val="7"/>
        </w:numPr>
      </w:pPr>
      <w:r>
        <w:t xml:space="preserve">The </w:t>
      </w:r>
      <w:r w:rsidR="00EE48E3">
        <w:t>require</w:t>
      </w:r>
      <w:r w:rsidR="004871C8" w:rsidRPr="004871C8">
        <w:t xml:space="preserve">d activities </w:t>
      </w:r>
      <w:r>
        <w:t xml:space="preserve">portion of the grant is now </w:t>
      </w:r>
      <w:r w:rsidR="004871C8" w:rsidRPr="004871C8">
        <w:t xml:space="preserve">$7,500, </w:t>
      </w:r>
      <w:r>
        <w:t xml:space="preserve">up from $5,000. This increase is to cover the associated costs with the above-mentioned four factor LEP analysis. This </w:t>
      </w:r>
      <w:r w:rsidR="004871C8" w:rsidRPr="004871C8">
        <w:t>change</w:t>
      </w:r>
      <w:r>
        <w:t xml:space="preserve"> also results in $12,500 to remain for</w:t>
      </w:r>
      <w:r w:rsidR="004871C8" w:rsidRPr="004871C8">
        <w:t xml:space="preserve"> the discretionary capacity </w:t>
      </w:r>
      <w:r>
        <w:t xml:space="preserve">building </w:t>
      </w:r>
      <w:r w:rsidR="004871C8" w:rsidRPr="004871C8">
        <w:t>activities (non-routine).</w:t>
      </w:r>
      <w:r>
        <w:t xml:space="preserve"> The maximum liability for the grant remains at $20,000.</w:t>
      </w:r>
      <w:r w:rsidR="004871C8" w:rsidRPr="004871C8">
        <w:t xml:space="preserve">  </w:t>
      </w:r>
    </w:p>
    <w:p w:rsidR="007F4FD8" w:rsidRDefault="007F4FD8" w:rsidP="007F4FD8">
      <w:pPr>
        <w:pStyle w:val="ListParagraph"/>
      </w:pPr>
    </w:p>
    <w:p w:rsidR="00F150DB" w:rsidRDefault="000A57F2" w:rsidP="00CA4D6F">
      <w:pPr>
        <w:pStyle w:val="ListParagraph"/>
        <w:numPr>
          <w:ilvl w:val="0"/>
          <w:numId w:val="4"/>
        </w:numPr>
      </w:pPr>
      <w:r>
        <w:t>The Tennesse</w:t>
      </w:r>
      <w:r w:rsidR="00671FD8">
        <w:t xml:space="preserve">e Affordable Housing Coalition </w:t>
      </w:r>
      <w:r>
        <w:t xml:space="preserve">and the regional </w:t>
      </w:r>
      <w:r w:rsidR="007156E9">
        <w:t xml:space="preserve">Coalitions are great resources for the Development Districts. However, time spent with </w:t>
      </w:r>
      <w:r w:rsidR="00671FD8">
        <w:t xml:space="preserve">and for </w:t>
      </w:r>
      <w:r w:rsidR="007156E9">
        <w:t xml:space="preserve">the coalition </w:t>
      </w:r>
      <w:r w:rsidR="00671FD8">
        <w:t>can</w:t>
      </w:r>
      <w:r w:rsidR="007156E9">
        <w:t xml:space="preserve"> be considered part of housing related customer service, one of the required activities of the contract</w:t>
      </w:r>
      <w:r w:rsidR="00671FD8">
        <w:t>, rather than a discretionary capacity building activity.</w:t>
      </w:r>
      <w:r w:rsidR="00736701">
        <w:t xml:space="preserve">  We have increased the housing related customer serviced required activity by $250, changing the yearly total from $2,000 to $2,250.  </w:t>
      </w:r>
      <w:r w:rsidR="00736701" w:rsidRPr="00A00569">
        <w:rPr>
          <w:color w:val="000000" w:themeColor="text1"/>
        </w:rPr>
        <w:t xml:space="preserve">This is recognition that we are supportive of the Coalition and your involvement improves the ability to </w:t>
      </w:r>
      <w:r w:rsidR="00A00569" w:rsidRPr="00A00569">
        <w:rPr>
          <w:color w:val="000000" w:themeColor="text1"/>
        </w:rPr>
        <w:t>provide</w:t>
      </w:r>
      <w:r w:rsidR="00A00569">
        <w:rPr>
          <w:color w:val="000000" w:themeColor="text1"/>
        </w:rPr>
        <w:t xml:space="preserve"> housing related</w:t>
      </w:r>
      <w:r w:rsidR="00A00569" w:rsidRPr="00A00569">
        <w:rPr>
          <w:color w:val="000000" w:themeColor="text1"/>
        </w:rPr>
        <w:t xml:space="preserve"> </w:t>
      </w:r>
      <w:r w:rsidR="00736701" w:rsidRPr="00A00569">
        <w:rPr>
          <w:color w:val="000000" w:themeColor="text1"/>
        </w:rPr>
        <w:t>customer service.</w:t>
      </w:r>
      <w:r w:rsidR="00A00569" w:rsidRPr="00A00569">
        <w:rPr>
          <w:color w:val="000000" w:themeColor="text1"/>
        </w:rPr>
        <w:t xml:space="preserve">  </w:t>
      </w:r>
      <w:r w:rsidR="00A00569">
        <w:rPr>
          <w:color w:val="000000" w:themeColor="text1"/>
        </w:rPr>
        <w:t>In addition</w:t>
      </w:r>
      <w:r w:rsidR="00671FD8" w:rsidRPr="00A00569">
        <w:rPr>
          <w:color w:val="000000" w:themeColor="text1"/>
        </w:rPr>
        <w:t>, if district staff</w:t>
      </w:r>
      <w:r w:rsidR="007156E9" w:rsidRPr="00A00569">
        <w:rPr>
          <w:color w:val="000000" w:themeColor="text1"/>
        </w:rPr>
        <w:t xml:space="preserve"> are asked to present at a Coalition meeting </w:t>
      </w:r>
      <w:r w:rsidR="007156E9">
        <w:t xml:space="preserve">and this type of education </w:t>
      </w:r>
      <w:r w:rsidR="00A00569">
        <w:t xml:space="preserve">is </w:t>
      </w:r>
      <w:r w:rsidR="007156E9">
        <w:t>in your plan, attendance at a Coalition meeting may be an eligible expenditure</w:t>
      </w:r>
      <w:r w:rsidR="00CA4D6F">
        <w:t xml:space="preserve"> under the discretionary activities</w:t>
      </w:r>
      <w:r w:rsidR="007156E9">
        <w:t>.</w:t>
      </w:r>
    </w:p>
    <w:p w:rsidR="00EA44FF" w:rsidRDefault="00EA44FF" w:rsidP="00270A16">
      <w:pPr>
        <w:pStyle w:val="ListParagraph"/>
      </w:pPr>
    </w:p>
    <w:p w:rsidR="00EA44FF" w:rsidRDefault="00EA44FF" w:rsidP="00EA44FF">
      <w:pPr>
        <w:pStyle w:val="ListParagraph"/>
        <w:numPr>
          <w:ilvl w:val="0"/>
          <w:numId w:val="4"/>
        </w:numPr>
      </w:pPr>
      <w:r>
        <w:t xml:space="preserve">Due to the increase in customer service mentioned above, there is a corresponding reduction in the Tennessee Housing Conference line item, moving the amount for Conference attendance from $1,000 to $750. </w:t>
      </w:r>
    </w:p>
    <w:p w:rsidR="00F150DB" w:rsidRDefault="00F150DB" w:rsidP="00FE5C7B">
      <w:pPr>
        <w:pStyle w:val="ListParagraph"/>
      </w:pPr>
    </w:p>
    <w:p w:rsidR="000A57F2" w:rsidRDefault="007156E9" w:rsidP="00CA4D6F">
      <w:pPr>
        <w:pStyle w:val="ListParagraph"/>
        <w:numPr>
          <w:ilvl w:val="0"/>
          <w:numId w:val="4"/>
        </w:numPr>
      </w:pPr>
      <w:r>
        <w:t xml:space="preserve"> </w:t>
      </w:r>
      <w:r w:rsidR="00FE5C7B">
        <w:t>S</w:t>
      </w:r>
      <w:r w:rsidR="00503E94">
        <w:t xml:space="preserve">ection </w:t>
      </w:r>
      <w:r w:rsidR="00F150DB">
        <w:t>A</w:t>
      </w:r>
      <w:r w:rsidR="00503E94">
        <w:t>.</w:t>
      </w:r>
      <w:r w:rsidR="00F150DB">
        <w:t>4</w:t>
      </w:r>
      <w:r w:rsidR="00503E94">
        <w:t xml:space="preserve">. of the Technical Assistance Contract </w:t>
      </w:r>
      <w:r w:rsidR="00F150DB">
        <w:t xml:space="preserve">references </w:t>
      </w:r>
      <w:r w:rsidR="00FE5C7B" w:rsidRPr="00746A7C">
        <w:rPr>
          <w:rFonts w:asciiTheme="minorHAnsi" w:hAnsiTheme="minorHAnsi" w:cs="Arial"/>
        </w:rPr>
        <w:t>providing for and encouraging citizens to participate in the development of the Consolidated Plan</w:t>
      </w:r>
      <w:r w:rsidR="00EA44FF">
        <w:t xml:space="preserve">(and the reports and plans that are companions to the ConPlan). This year, we will be conducting the Analysis of Impediments on behalf of the Department of Economic and Community Development. </w:t>
      </w:r>
      <w:r w:rsidR="00F150DB">
        <w:t>THDA will be asking for assistance in hosting focus groups</w:t>
      </w:r>
      <w:r w:rsidR="00FE5C7B">
        <w:t xml:space="preserve"> to update the </w:t>
      </w:r>
      <w:r w:rsidR="00EA44FF">
        <w:t>S</w:t>
      </w:r>
      <w:r w:rsidR="00FE5C7B">
        <w:t>tate</w:t>
      </w:r>
      <w:r w:rsidR="00EA44FF">
        <w:t>’</w:t>
      </w:r>
      <w:r w:rsidR="00FE5C7B">
        <w:t>s Analysis of Impediment</w:t>
      </w:r>
      <w:r w:rsidR="00981DA3">
        <w:t>s</w:t>
      </w:r>
      <w:r w:rsidR="00FE5C7B">
        <w:t xml:space="preserve">.  A separate email will be sent out as THDA will rely on the Development Districts for use of your facilities and help organizing the focus group with local city and county officials in your service areas. </w:t>
      </w:r>
    </w:p>
    <w:p w:rsidR="006754D0" w:rsidRDefault="006754D0" w:rsidP="00E55BF0">
      <w:pPr>
        <w:ind w:left="360"/>
      </w:pPr>
    </w:p>
    <w:p w:rsidR="00CA4D6F" w:rsidRDefault="00CA4D6F" w:rsidP="00CA4D6F">
      <w:pPr>
        <w:pStyle w:val="ListParagraph"/>
      </w:pPr>
    </w:p>
    <w:p w:rsidR="0073674C" w:rsidRDefault="00406338" w:rsidP="006754D0">
      <w:pPr>
        <w:pStyle w:val="ListParagraph"/>
        <w:numPr>
          <w:ilvl w:val="0"/>
          <w:numId w:val="4"/>
        </w:numPr>
      </w:pPr>
      <w:r>
        <w:t xml:space="preserve">Public Notice and Website revised language will be changed in the TA Agreement to require that they are placed in an easily viewed location on your website. </w:t>
      </w:r>
      <w:r w:rsidR="001B4EE5" w:rsidRPr="001B4EE5">
        <w:rPr>
          <w:color w:val="000000" w:themeColor="text1"/>
        </w:rPr>
        <w:t xml:space="preserve">Going forward, we require that the announcement (as a link or full text) </w:t>
      </w:r>
      <w:r w:rsidR="00CA4D6F">
        <w:rPr>
          <w:color w:val="000000" w:themeColor="text1"/>
        </w:rPr>
        <w:t xml:space="preserve">be no more than </w:t>
      </w:r>
      <w:r w:rsidR="001B4EE5" w:rsidRPr="001B4EE5">
        <w:rPr>
          <w:color w:val="000000" w:themeColor="text1"/>
        </w:rPr>
        <w:t>2 clicks from your homepage</w:t>
      </w:r>
      <w:r w:rsidR="006754D0">
        <w:t xml:space="preserve">.   </w:t>
      </w:r>
      <w:r>
        <w:t xml:space="preserve">As a reminder, </w:t>
      </w:r>
      <w:r w:rsidR="006754D0">
        <w:t>the</w:t>
      </w:r>
      <w:r>
        <w:t>se</w:t>
      </w:r>
      <w:r w:rsidR="006754D0">
        <w:t xml:space="preserve"> notices should be removed from your websites after the end date in the notice.</w:t>
      </w:r>
    </w:p>
    <w:p w:rsidR="006353B0" w:rsidRDefault="006353B0" w:rsidP="006353B0">
      <w:pPr>
        <w:pStyle w:val="ListParagraph"/>
      </w:pPr>
    </w:p>
    <w:p w:rsidR="007F4FD8" w:rsidRDefault="007F4FD8" w:rsidP="007F4FD8">
      <w:pPr>
        <w:pStyle w:val="ListParagraph"/>
      </w:pPr>
    </w:p>
    <w:p w:rsidR="006754D0" w:rsidRPr="004A51C3" w:rsidRDefault="009718FE" w:rsidP="003E1CFF">
      <w:pPr>
        <w:rPr>
          <w:b/>
        </w:rPr>
      </w:pPr>
      <w:r w:rsidRPr="004A51C3">
        <w:rPr>
          <w:b/>
        </w:rPr>
        <w:t>Unallowable Costs</w:t>
      </w:r>
    </w:p>
    <w:p w:rsidR="009718FE" w:rsidRDefault="009718FE" w:rsidP="003E1CFF"/>
    <w:p w:rsidR="008E07C2" w:rsidRDefault="003E1CFF" w:rsidP="0006262A">
      <w:r>
        <w:t xml:space="preserve">We </w:t>
      </w:r>
      <w:r w:rsidR="00A54FF0">
        <w:t xml:space="preserve">continue to </w:t>
      </w:r>
      <w:r>
        <w:t xml:space="preserve">get invoices for </w:t>
      </w:r>
      <w:r w:rsidR="0073674C">
        <w:t xml:space="preserve">costs that </w:t>
      </w:r>
      <w:r w:rsidR="00A761C8">
        <w:t xml:space="preserve">cannot be billed to the TA grant. Particularly, </w:t>
      </w:r>
      <w:r w:rsidR="002F735F">
        <w:t xml:space="preserve">invoices include </w:t>
      </w:r>
      <w:r w:rsidR="00A761C8">
        <w:t xml:space="preserve">costs that </w:t>
      </w:r>
      <w:r w:rsidR="002F735F">
        <w:t>must</w:t>
      </w:r>
      <w:r w:rsidR="0073674C">
        <w:t xml:space="preserve"> be billed to other program grants that the District also receives</w:t>
      </w:r>
      <w:r w:rsidR="007156E9">
        <w:t xml:space="preserve">. </w:t>
      </w:r>
      <w:r w:rsidR="008E07C2">
        <w:t>Please remember:</w:t>
      </w:r>
    </w:p>
    <w:p w:rsidR="008E07C2" w:rsidRDefault="008E07C2" w:rsidP="0006262A"/>
    <w:p w:rsidR="008E07C2" w:rsidRDefault="0006262A" w:rsidP="008E07C2">
      <w:pPr>
        <w:pStyle w:val="ListParagraph"/>
        <w:numPr>
          <w:ilvl w:val="0"/>
          <w:numId w:val="8"/>
        </w:numPr>
      </w:pPr>
      <w:r>
        <w:t>Expenses otherwise contracted for by THDA or other entities may not be billed to this grant. This prohibition is found in C.11 of the grant agreement.</w:t>
      </w:r>
      <w:r w:rsidR="008E07C2">
        <w:t xml:space="preserve"> </w:t>
      </w:r>
      <w:r w:rsidR="007156E9">
        <w:t xml:space="preserve">This happens most frequently through billing for the administration of the HOME and Emergency Repair Program. </w:t>
      </w:r>
    </w:p>
    <w:p w:rsidR="008E07C2" w:rsidRDefault="008E07C2" w:rsidP="008E07C2">
      <w:pPr>
        <w:pStyle w:val="ListParagraph"/>
        <w:numPr>
          <w:ilvl w:val="0"/>
          <w:numId w:val="8"/>
        </w:numPr>
      </w:pPr>
      <w:r>
        <w:lastRenderedPageBreak/>
        <w:t>B</w:t>
      </w:r>
      <w:r w:rsidR="0006262A">
        <w:t xml:space="preserve">eginning last contract year, </w:t>
      </w:r>
      <w:r w:rsidR="007156E9">
        <w:t xml:space="preserve">planning and administration of CDBG grants is </w:t>
      </w:r>
      <w:r w:rsidR="0006262A">
        <w:t xml:space="preserve">no longer an eligible expense of </w:t>
      </w:r>
      <w:r w:rsidR="007156E9">
        <w:t xml:space="preserve">the TA contract. </w:t>
      </w:r>
      <w:r w:rsidR="00A761C8">
        <w:t xml:space="preserve"> </w:t>
      </w:r>
    </w:p>
    <w:p w:rsidR="008E07C2" w:rsidRDefault="008E07C2" w:rsidP="00976597"/>
    <w:p w:rsidR="00552C34" w:rsidRDefault="00311118" w:rsidP="00976597">
      <w:r>
        <w:t>B</w:t>
      </w:r>
      <w:r w:rsidR="0006262A">
        <w:t>ecause of the need for revisions, b</w:t>
      </w:r>
      <w:r w:rsidR="000E1C89">
        <w:t xml:space="preserve">illing </w:t>
      </w:r>
      <w:r>
        <w:t>for these ineligible items can significantly</w:t>
      </w:r>
      <w:r w:rsidR="003E1CFF">
        <w:t xml:space="preserve"> slow down the reimbursement process.</w:t>
      </w:r>
      <w:r w:rsidR="001B273E">
        <w:t xml:space="preserve">  </w:t>
      </w:r>
      <w:r w:rsidR="00BB2624">
        <w:t xml:space="preserve">While </w:t>
      </w:r>
      <w:r w:rsidR="00A54F25">
        <w:t>TA grants do no</w:t>
      </w:r>
      <w:r w:rsidR="00BB2624">
        <w:t>t</w:t>
      </w:r>
      <w:r w:rsidR="00A54F25">
        <w:t xml:space="preserve"> cover administrative costs, costs</w:t>
      </w:r>
      <w:r w:rsidR="00B96CD5">
        <w:t xml:space="preserve"> associated with the preparation of </w:t>
      </w:r>
      <w:r w:rsidR="002F735F">
        <w:t>HOME applications are permissible</w:t>
      </w:r>
      <w:r w:rsidR="00B96CD5">
        <w:t xml:space="preserve">.  </w:t>
      </w:r>
    </w:p>
    <w:p w:rsidR="00C8015E" w:rsidRDefault="00C8015E" w:rsidP="00976597"/>
    <w:p w:rsidR="007F4FD8" w:rsidRDefault="007F4FD8" w:rsidP="00976597">
      <w:r>
        <w:t>Additionally, we ask that you provide details and documentation that reference the amount being billed in the invoice.  If you are billing for attending a meeting related to a</w:t>
      </w:r>
      <w:r w:rsidR="007A3CD8">
        <w:t xml:space="preserve"> discretionary</w:t>
      </w:r>
      <w:r>
        <w:t xml:space="preserve"> activity, make sure you </w:t>
      </w:r>
      <w:r w:rsidR="0006262A">
        <w:t>explain which activity in the</w:t>
      </w:r>
      <w:r>
        <w:t xml:space="preserve"> </w:t>
      </w:r>
      <w:r w:rsidR="00AF0CE2">
        <w:t>Housing Technical Assistance Plan</w:t>
      </w:r>
      <w:r w:rsidR="0006262A">
        <w:t xml:space="preserve"> it is addressing and how</w:t>
      </w:r>
      <w:r w:rsidR="00AF0CE2">
        <w:t xml:space="preserve">.  </w:t>
      </w:r>
    </w:p>
    <w:p w:rsidR="00470340" w:rsidRDefault="00470340" w:rsidP="00976597"/>
    <w:p w:rsidR="00886127" w:rsidRDefault="002F735F" w:rsidP="00976597">
      <w:pPr>
        <w:rPr>
          <w:b/>
        </w:rPr>
      </w:pPr>
      <w:r>
        <w:rPr>
          <w:b/>
        </w:rPr>
        <w:t>Suggestions for</w:t>
      </w:r>
      <w:r w:rsidR="001919D2">
        <w:rPr>
          <w:b/>
        </w:rPr>
        <w:t xml:space="preserve"> </w:t>
      </w:r>
      <w:r w:rsidR="001919D2" w:rsidRPr="001919D2">
        <w:rPr>
          <w:b/>
        </w:rPr>
        <w:t xml:space="preserve">Discretionary </w:t>
      </w:r>
      <w:r w:rsidR="001919D2">
        <w:rPr>
          <w:b/>
        </w:rPr>
        <w:t>(</w:t>
      </w:r>
      <w:r w:rsidR="00886127" w:rsidRPr="00886127">
        <w:rPr>
          <w:b/>
        </w:rPr>
        <w:t>Non-Routine</w:t>
      </w:r>
      <w:r w:rsidR="001919D2">
        <w:rPr>
          <w:b/>
        </w:rPr>
        <w:t>)</w:t>
      </w:r>
      <w:r w:rsidR="00886127" w:rsidRPr="00886127">
        <w:rPr>
          <w:b/>
        </w:rPr>
        <w:t xml:space="preserve"> Activities</w:t>
      </w:r>
    </w:p>
    <w:p w:rsidR="002F735F" w:rsidRDefault="002F735F" w:rsidP="00976597">
      <w:pPr>
        <w:rPr>
          <w:b/>
        </w:rPr>
      </w:pPr>
    </w:p>
    <w:p w:rsidR="005A2A8C" w:rsidRDefault="002F735F" w:rsidP="00C5714B">
      <w:r>
        <w:t xml:space="preserve">For Development Districts who are looking </w:t>
      </w:r>
      <w:r w:rsidR="006A0E18">
        <w:t>for ways</w:t>
      </w:r>
      <w:r>
        <w:t xml:space="preserve"> to utilize the TA funds, we encourage your consideration of the following ideas for </w:t>
      </w:r>
      <w:r w:rsidR="004871C8">
        <w:t>activities</w:t>
      </w:r>
      <w:r>
        <w:t xml:space="preserve"> in your region. Each addresses </w:t>
      </w:r>
      <w:r w:rsidR="00BB2624">
        <w:t xml:space="preserve">a </w:t>
      </w:r>
      <w:r>
        <w:t xml:space="preserve">need identified by the agency or other stakeholders and would serve to further the capacity and technical assistance roles funded through these grants. </w:t>
      </w:r>
      <w:r w:rsidR="0059474D">
        <w:t>Additional details are found in the attached grant application form.</w:t>
      </w:r>
    </w:p>
    <w:p w:rsidR="005A2A8C" w:rsidRDefault="00BB2624" w:rsidP="004A51C3">
      <w:pPr>
        <w:pStyle w:val="ListParagraph"/>
        <w:numPr>
          <w:ilvl w:val="0"/>
          <w:numId w:val="6"/>
        </w:numPr>
      </w:pPr>
      <w:r w:rsidRPr="008E07C2">
        <w:rPr>
          <w:b/>
        </w:rPr>
        <w:t xml:space="preserve">Building non-profit capacity to meet the Community Housing Development Organization (CHDO) qualifications. </w:t>
      </w:r>
      <w:r w:rsidR="00A34F0E">
        <w:t>Recently</w:t>
      </w:r>
      <w:r w:rsidR="004525A5">
        <w:t xml:space="preserve">, THDA </w:t>
      </w:r>
      <w:r w:rsidR="00A34F0E">
        <w:t>needed to</w:t>
      </w:r>
      <w:r w:rsidR="004525A5">
        <w:t xml:space="preserve"> host more than one competition </w:t>
      </w:r>
      <w:r w:rsidR="00A34F0E">
        <w:t xml:space="preserve">per year </w:t>
      </w:r>
      <w:r w:rsidR="004525A5">
        <w:t xml:space="preserve">for HOME funds set aside for CHDOs. This is because there are fewer non-profits that meet the </w:t>
      </w:r>
      <w:r w:rsidR="00D32FFC">
        <w:t xml:space="preserve">new (2013) </w:t>
      </w:r>
      <w:r w:rsidR="004525A5">
        <w:t xml:space="preserve">qualifying standards for CHDOs. Development Districts could improve </w:t>
      </w:r>
      <w:r w:rsidR="00AE642C">
        <w:t xml:space="preserve">their regional capacity for housing if they provided technical assistance to non-profits on how a non-profit can position themselves to </w:t>
      </w:r>
      <w:r w:rsidR="00D32FFC">
        <w:t xml:space="preserve">better </w:t>
      </w:r>
      <w:r w:rsidR="00AE642C">
        <w:t xml:space="preserve">meet these CHDO qualifications. </w:t>
      </w:r>
      <w:r w:rsidR="004525A5">
        <w:t xml:space="preserve"> </w:t>
      </w:r>
    </w:p>
    <w:p w:rsidR="00BC3E2A" w:rsidRDefault="00BC3E2A" w:rsidP="004A51C3">
      <w:pPr>
        <w:pStyle w:val="ListParagraph"/>
      </w:pPr>
    </w:p>
    <w:p w:rsidR="00BC3E2A" w:rsidRDefault="00AE642C" w:rsidP="004A51C3">
      <w:pPr>
        <w:pStyle w:val="ListParagraph"/>
        <w:numPr>
          <w:ilvl w:val="0"/>
          <w:numId w:val="6"/>
        </w:numPr>
      </w:pPr>
      <w:r>
        <w:t xml:space="preserve">If you are a Development District that administers the Emergency Repair Program, you may consider offering a </w:t>
      </w:r>
      <w:r w:rsidRPr="00D32FFC">
        <w:rPr>
          <w:b/>
        </w:rPr>
        <w:t xml:space="preserve">post-repair </w:t>
      </w:r>
      <w:r w:rsidRPr="00D32FFC">
        <w:rPr>
          <w:b/>
        </w:rPr>
        <w:lastRenderedPageBreak/>
        <w:t>counseling/</w:t>
      </w:r>
      <w:r w:rsidR="00D32FFC">
        <w:rPr>
          <w:b/>
        </w:rPr>
        <w:t xml:space="preserve">maintenance </w:t>
      </w:r>
      <w:r w:rsidRPr="00D32FFC">
        <w:rPr>
          <w:b/>
        </w:rPr>
        <w:t>reminder program</w:t>
      </w:r>
      <w:r>
        <w:t xml:space="preserve"> to help a homeowner maintain the repairs that were made. There are two Development Districts who offer this outreach to beneficiaries of the ERP program. We encourage you to consider offering this as an extension to the program. We also encourage data collection that may show the impact of this follow-up on homeowner maintenance and housing quality.</w:t>
      </w:r>
    </w:p>
    <w:p w:rsidR="00BE06A2" w:rsidRDefault="00BE06A2" w:rsidP="00BE06A2">
      <w:pPr>
        <w:pStyle w:val="ListParagraph"/>
      </w:pPr>
    </w:p>
    <w:p w:rsidR="00BE06A2" w:rsidRPr="00BE06A2" w:rsidRDefault="00BE06A2" w:rsidP="004A51C3">
      <w:pPr>
        <w:pStyle w:val="ListParagraph"/>
        <w:numPr>
          <w:ilvl w:val="0"/>
          <w:numId w:val="6"/>
        </w:numPr>
      </w:pPr>
      <w:r w:rsidRPr="0043235D">
        <w:rPr>
          <w:rFonts w:eastAsia="Times New Roman" w:cs="Times New Roman"/>
          <w:iCs/>
        </w:rPr>
        <w:t xml:space="preserve">A gap exists in the number and capacity of administrators to assist local governments to meet the housing rehabilitation needs of communities across the Tennessee. As the role of local public housing authorities continues to shift beyond traditional public housing management, these local entities </w:t>
      </w:r>
      <w:r w:rsidR="00A34F0E">
        <w:rPr>
          <w:rFonts w:eastAsia="Times New Roman" w:cs="Times New Roman"/>
          <w:iCs/>
        </w:rPr>
        <w:t>could be</w:t>
      </w:r>
      <w:r w:rsidR="00A34F0E" w:rsidRPr="0043235D">
        <w:rPr>
          <w:rFonts w:eastAsia="Times New Roman" w:cs="Times New Roman"/>
          <w:iCs/>
        </w:rPr>
        <w:t xml:space="preserve"> </w:t>
      </w:r>
      <w:r w:rsidRPr="0043235D">
        <w:rPr>
          <w:rFonts w:eastAsia="Times New Roman" w:cs="Times New Roman"/>
          <w:iCs/>
        </w:rPr>
        <w:t>a natural administrator of HOME funds for their community.  PHAs are knowledgeable of federal regulations, including procurement, fair housing, affirmative marketing, Section 3, income qualification, and waiting list maintenance.  THDA’s HOME program provides an opportunity for a local PHA to expand their role by administering a homeowner rehabilitation program for their community</w:t>
      </w:r>
      <w:r>
        <w:rPr>
          <w:rFonts w:eastAsia="Times New Roman" w:cs="Times New Roman"/>
          <w:iCs/>
        </w:rPr>
        <w:t xml:space="preserve">.  </w:t>
      </w:r>
      <w:r w:rsidR="00A34F0E">
        <w:rPr>
          <w:rFonts w:eastAsia="Times New Roman" w:cs="Times New Roman"/>
          <w:iCs/>
        </w:rPr>
        <w:t>Districts could</w:t>
      </w:r>
      <w:r>
        <w:rPr>
          <w:rFonts w:eastAsia="Times New Roman" w:cs="Times New Roman"/>
          <w:iCs/>
        </w:rPr>
        <w:t xml:space="preserve"> provid</w:t>
      </w:r>
      <w:r w:rsidR="00A34F0E">
        <w:rPr>
          <w:rFonts w:eastAsia="Times New Roman" w:cs="Times New Roman"/>
          <w:iCs/>
        </w:rPr>
        <w:t>e</w:t>
      </w:r>
      <w:r>
        <w:rPr>
          <w:rFonts w:eastAsia="Times New Roman" w:cs="Times New Roman"/>
          <w:iCs/>
        </w:rPr>
        <w:t xml:space="preserve"> training and outreach t</w:t>
      </w:r>
      <w:r w:rsidR="0068042C">
        <w:rPr>
          <w:rFonts w:eastAsia="Times New Roman" w:cs="Times New Roman"/>
          <w:iCs/>
        </w:rPr>
        <w:t xml:space="preserve">o </w:t>
      </w:r>
      <w:r w:rsidR="0068042C" w:rsidRPr="00D32FFC">
        <w:rPr>
          <w:rFonts w:eastAsia="Times New Roman" w:cs="Times New Roman"/>
          <w:b/>
          <w:iCs/>
        </w:rPr>
        <w:t>encourage PHA participation in the HOME program</w:t>
      </w:r>
      <w:r w:rsidR="0068042C">
        <w:rPr>
          <w:rFonts w:eastAsia="Times New Roman" w:cs="Times New Roman"/>
          <w:iCs/>
        </w:rPr>
        <w:t>.</w:t>
      </w:r>
    </w:p>
    <w:p w:rsidR="00BE06A2" w:rsidRDefault="00BE06A2" w:rsidP="00BE06A2">
      <w:pPr>
        <w:pStyle w:val="ListParagraph"/>
      </w:pPr>
    </w:p>
    <w:p w:rsidR="00BE06A2" w:rsidRPr="00DA44B9" w:rsidRDefault="0068042C" w:rsidP="004A51C3">
      <w:pPr>
        <w:pStyle w:val="ListParagraph"/>
        <w:numPr>
          <w:ilvl w:val="0"/>
          <w:numId w:val="6"/>
        </w:numPr>
        <w:rPr>
          <w:b/>
        </w:rPr>
      </w:pPr>
      <w:r w:rsidRPr="000411AC">
        <w:rPr>
          <w:rFonts w:cs="Times New Roman"/>
          <w:iCs/>
          <w:noProof/>
        </w:rPr>
        <w:t>Local Continua of Care (CoC) are required</w:t>
      </w:r>
      <w:r w:rsidR="00A34F0E">
        <w:rPr>
          <w:rFonts w:cs="Times New Roman"/>
          <w:iCs/>
          <w:noProof/>
        </w:rPr>
        <w:t>,</w:t>
      </w:r>
      <w:r w:rsidRPr="000411AC">
        <w:rPr>
          <w:rFonts w:cs="Times New Roman"/>
          <w:iCs/>
          <w:noProof/>
        </w:rPr>
        <w:t xml:space="preserve"> for receipt of HUD funding</w:t>
      </w:r>
      <w:r w:rsidR="00A34F0E">
        <w:rPr>
          <w:rFonts w:cs="Times New Roman"/>
          <w:iCs/>
          <w:noProof/>
        </w:rPr>
        <w:t>,</w:t>
      </w:r>
      <w:r w:rsidRPr="000411AC">
        <w:rPr>
          <w:rFonts w:cs="Times New Roman"/>
          <w:iCs/>
          <w:noProof/>
        </w:rPr>
        <w:t xml:space="preserve"> to implement a Coordinated Intake process for the initial comprehensive assessment of individuals and families who are homeless that matches the household to the appropriate, available resources in the community. Tennessee’s ten CoCs are at different stages of Coordinated Intake implementation.</w:t>
      </w:r>
      <w:r>
        <w:rPr>
          <w:rFonts w:cs="Times New Roman"/>
          <w:iCs/>
          <w:noProof/>
        </w:rPr>
        <w:t xml:space="preserve">  The Development Distri</w:t>
      </w:r>
      <w:r w:rsidR="00A34F0E">
        <w:rPr>
          <w:rFonts w:cs="Times New Roman"/>
          <w:iCs/>
          <w:noProof/>
        </w:rPr>
        <w:t>c</w:t>
      </w:r>
      <w:r>
        <w:rPr>
          <w:rFonts w:cs="Times New Roman"/>
          <w:iCs/>
          <w:noProof/>
        </w:rPr>
        <w:t xml:space="preserve">t </w:t>
      </w:r>
      <w:r w:rsidR="00A34F0E">
        <w:rPr>
          <w:rFonts w:cs="Times New Roman"/>
          <w:iCs/>
          <w:noProof/>
        </w:rPr>
        <w:t xml:space="preserve">may be able to </w:t>
      </w:r>
      <w:r>
        <w:rPr>
          <w:rFonts w:cs="Times New Roman"/>
          <w:iCs/>
          <w:noProof/>
        </w:rPr>
        <w:t xml:space="preserve">play a role by including an activity to </w:t>
      </w:r>
      <w:r w:rsidRPr="00DA44B9">
        <w:rPr>
          <w:rFonts w:cs="Times New Roman"/>
          <w:b/>
          <w:iCs/>
          <w:noProof/>
        </w:rPr>
        <w:t>create a work plan to assist in coordinated intake implementation.</w:t>
      </w:r>
    </w:p>
    <w:p w:rsidR="0068042C" w:rsidRDefault="0068042C" w:rsidP="0068042C">
      <w:pPr>
        <w:pStyle w:val="ListParagraph"/>
      </w:pPr>
    </w:p>
    <w:p w:rsidR="0068042C" w:rsidRPr="00DA44B9" w:rsidRDefault="0068042C" w:rsidP="004A51C3">
      <w:pPr>
        <w:pStyle w:val="ListParagraph"/>
        <w:numPr>
          <w:ilvl w:val="0"/>
          <w:numId w:val="6"/>
        </w:numPr>
        <w:rPr>
          <w:b/>
        </w:rPr>
      </w:pPr>
      <w:r w:rsidRPr="00875468">
        <w:rPr>
          <w:rFonts w:cs="Times New Roman"/>
          <w:iCs/>
          <w:noProof/>
        </w:rPr>
        <w:t xml:space="preserve">Local Continua of Care (CoC) are </w:t>
      </w:r>
      <w:r w:rsidR="00A34F0E">
        <w:rPr>
          <w:rFonts w:cs="Times New Roman"/>
          <w:iCs/>
          <w:noProof/>
        </w:rPr>
        <w:t xml:space="preserve">also </w:t>
      </w:r>
      <w:r w:rsidRPr="00875468">
        <w:rPr>
          <w:rFonts w:cs="Times New Roman"/>
          <w:iCs/>
          <w:noProof/>
        </w:rPr>
        <w:t>required</w:t>
      </w:r>
      <w:r w:rsidR="00A34F0E">
        <w:rPr>
          <w:rFonts w:cs="Times New Roman"/>
          <w:iCs/>
          <w:noProof/>
        </w:rPr>
        <w:t>,</w:t>
      </w:r>
      <w:r w:rsidRPr="00875468">
        <w:rPr>
          <w:rFonts w:cs="Times New Roman"/>
          <w:iCs/>
          <w:noProof/>
        </w:rPr>
        <w:t xml:space="preserve"> as a recipient of HUD funding</w:t>
      </w:r>
      <w:r w:rsidR="00A34F0E">
        <w:rPr>
          <w:rFonts w:cs="Times New Roman"/>
          <w:iCs/>
          <w:noProof/>
        </w:rPr>
        <w:t>,</w:t>
      </w:r>
      <w:r w:rsidRPr="00875468">
        <w:rPr>
          <w:rFonts w:cs="Times New Roman"/>
          <w:iCs/>
          <w:noProof/>
        </w:rPr>
        <w:t xml:space="preserve"> to implement a Homeless Management and Information System (HMIS) which records service delivery to homeless individuals and families in their service </w:t>
      </w:r>
      <w:r w:rsidRPr="00875468">
        <w:rPr>
          <w:rFonts w:cs="Times New Roman"/>
          <w:iCs/>
          <w:noProof/>
        </w:rPr>
        <w:lastRenderedPageBreak/>
        <w:t>area.  However, many barriers exist to implementing this mandate among both HUD funded organizations as well as those which do not receive HUD funding</w:t>
      </w:r>
      <w:r>
        <w:rPr>
          <w:rFonts w:cs="Times New Roman"/>
          <w:iCs/>
          <w:noProof/>
        </w:rPr>
        <w:t xml:space="preserve">. Your role in filling these gaps would </w:t>
      </w:r>
      <w:r w:rsidR="00BD15A1">
        <w:rPr>
          <w:rFonts w:cs="Times New Roman"/>
          <w:iCs/>
          <w:noProof/>
        </w:rPr>
        <w:t xml:space="preserve">to </w:t>
      </w:r>
      <w:r w:rsidR="00BD15A1" w:rsidRPr="00DA44B9">
        <w:rPr>
          <w:rFonts w:cs="Times New Roman"/>
          <w:b/>
          <w:iCs/>
          <w:noProof/>
        </w:rPr>
        <w:t xml:space="preserve">create </w:t>
      </w:r>
      <w:r w:rsidRPr="00DA44B9">
        <w:rPr>
          <w:rFonts w:cs="Times New Roman"/>
          <w:b/>
          <w:iCs/>
          <w:noProof/>
        </w:rPr>
        <w:t xml:space="preserve"> a work plan for services for the CoC in their HMIS implementation.</w:t>
      </w:r>
    </w:p>
    <w:p w:rsidR="00BE06A2" w:rsidRDefault="00BE06A2" w:rsidP="00BE06A2">
      <w:pPr>
        <w:pStyle w:val="ListParagraph"/>
      </w:pPr>
    </w:p>
    <w:p w:rsidR="001002C2" w:rsidRDefault="001002C2"/>
    <w:p w:rsidR="00AE642C" w:rsidRDefault="00AE642C">
      <w:r>
        <w:t>We are</w:t>
      </w:r>
      <w:r w:rsidR="00BE06A2">
        <w:t xml:space="preserve"> continuing to work </w:t>
      </w:r>
      <w:r>
        <w:t xml:space="preserve">on a brief policies and procedures document that </w:t>
      </w:r>
      <w:r w:rsidR="00A34F0E">
        <w:t>seeks to further</w:t>
      </w:r>
      <w:r>
        <w:t xml:space="preserve"> clarify the expectations that THDA has for the Development Districts in managing this Technical Assistance grant. We look forward to working with you again in the coming year. If you have questions on the items covered in this letter, please do not hesitate to call me. </w:t>
      </w:r>
    </w:p>
    <w:p w:rsidR="00AE642C" w:rsidRDefault="00AE642C"/>
    <w:p w:rsidR="00AE642C" w:rsidRDefault="00AE642C">
      <w:r>
        <w:t xml:space="preserve">Thank you, </w:t>
      </w:r>
    </w:p>
    <w:p w:rsidR="00AE642C" w:rsidRDefault="00AE642C"/>
    <w:p w:rsidR="00AE642C" w:rsidRDefault="00AE642C"/>
    <w:p w:rsidR="00AE642C" w:rsidRDefault="00AE642C">
      <w:r>
        <w:t>Ceagus Clark</w:t>
      </w:r>
    </w:p>
    <w:p w:rsidR="009E450B" w:rsidRDefault="00AE642C">
      <w:r>
        <w:t>Research Analyst</w:t>
      </w:r>
    </w:p>
    <w:p w:rsidR="00AE642C" w:rsidRDefault="00AE642C"/>
    <w:p w:rsidR="00AE642C" w:rsidRDefault="00AE642C"/>
    <w:p w:rsidR="009463C6" w:rsidRDefault="00AE642C">
      <w:r>
        <w:t>Cc:</w:t>
      </w:r>
      <w:r>
        <w:tab/>
        <w:t>Don Watt, Director, Community Programs, THDA</w:t>
      </w:r>
      <w:r>
        <w:br/>
      </w:r>
      <w:r>
        <w:tab/>
        <w:t>Bettie Teasley, Director, Research and Planning, THDA</w:t>
      </w:r>
      <w:bookmarkEnd w:id="0"/>
    </w:p>
    <w:sectPr w:rsidR="009463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C3" w:rsidRDefault="005B5DC3" w:rsidP="003A7C95">
      <w:r>
        <w:separator/>
      </w:r>
    </w:p>
  </w:endnote>
  <w:endnote w:type="continuationSeparator" w:id="0">
    <w:p w:rsidR="005B5DC3" w:rsidRDefault="005B5DC3" w:rsidP="003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C3" w:rsidRDefault="005B5DC3" w:rsidP="003A7C95">
      <w:r>
        <w:separator/>
      </w:r>
    </w:p>
  </w:footnote>
  <w:footnote w:type="continuationSeparator" w:id="0">
    <w:p w:rsidR="005B5DC3" w:rsidRDefault="005B5DC3" w:rsidP="003A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F1D"/>
    <w:multiLevelType w:val="hybridMultilevel"/>
    <w:tmpl w:val="D1FC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87C29"/>
    <w:multiLevelType w:val="hybridMultilevel"/>
    <w:tmpl w:val="136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87D5A"/>
    <w:multiLevelType w:val="hybridMultilevel"/>
    <w:tmpl w:val="765AD4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B7171"/>
    <w:multiLevelType w:val="hybridMultilevel"/>
    <w:tmpl w:val="887E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E0F7D"/>
    <w:multiLevelType w:val="hybridMultilevel"/>
    <w:tmpl w:val="D7C2B27A"/>
    <w:lvl w:ilvl="0" w:tplc="6F323C88">
      <w:start w:val="1"/>
      <w:numFmt w:val="lowerLetter"/>
      <w:lvlText w:val="%1."/>
      <w:lvlJc w:val="left"/>
      <w:pPr>
        <w:ind w:left="1080" w:hanging="360"/>
      </w:pPr>
      <w:rPr>
        <w:rFonts w:asciiTheme="minorHAnsi" w:eastAsia="Times New Roman" w:hAnsiTheme="minorHAns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4E48B2"/>
    <w:multiLevelType w:val="hybridMultilevel"/>
    <w:tmpl w:val="4DEC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06A24"/>
    <w:multiLevelType w:val="hybridMultilevel"/>
    <w:tmpl w:val="503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B7E44"/>
    <w:multiLevelType w:val="hybridMultilevel"/>
    <w:tmpl w:val="BBD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97"/>
    <w:rsid w:val="00004DA4"/>
    <w:rsid w:val="0006262A"/>
    <w:rsid w:val="000A57F2"/>
    <w:rsid w:val="000C3B5E"/>
    <w:rsid w:val="000E1C89"/>
    <w:rsid w:val="000F738C"/>
    <w:rsid w:val="001002C2"/>
    <w:rsid w:val="00116238"/>
    <w:rsid w:val="001919D2"/>
    <w:rsid w:val="001A55A6"/>
    <w:rsid w:val="001B273E"/>
    <w:rsid w:val="001B4EE5"/>
    <w:rsid w:val="001C251B"/>
    <w:rsid w:val="001D5F47"/>
    <w:rsid w:val="002132B8"/>
    <w:rsid w:val="00270A16"/>
    <w:rsid w:val="00273ECA"/>
    <w:rsid w:val="002E51AD"/>
    <w:rsid w:val="002F735F"/>
    <w:rsid w:val="00303A01"/>
    <w:rsid w:val="00303FCE"/>
    <w:rsid w:val="00311118"/>
    <w:rsid w:val="003508F8"/>
    <w:rsid w:val="003614FA"/>
    <w:rsid w:val="003A7C95"/>
    <w:rsid w:val="003E1CFF"/>
    <w:rsid w:val="003E2DAF"/>
    <w:rsid w:val="003E335B"/>
    <w:rsid w:val="003E4647"/>
    <w:rsid w:val="003F5A9F"/>
    <w:rsid w:val="00406338"/>
    <w:rsid w:val="0041586F"/>
    <w:rsid w:val="004525A5"/>
    <w:rsid w:val="00455987"/>
    <w:rsid w:val="00470340"/>
    <w:rsid w:val="004871C8"/>
    <w:rsid w:val="004A1688"/>
    <w:rsid w:val="004A51C3"/>
    <w:rsid w:val="004F5935"/>
    <w:rsid w:val="00503E94"/>
    <w:rsid w:val="00533DA3"/>
    <w:rsid w:val="00542411"/>
    <w:rsid w:val="00552C34"/>
    <w:rsid w:val="0059474D"/>
    <w:rsid w:val="005A2A8C"/>
    <w:rsid w:val="005B22D4"/>
    <w:rsid w:val="005B468C"/>
    <w:rsid w:val="005B5DC3"/>
    <w:rsid w:val="005F1464"/>
    <w:rsid w:val="006036A1"/>
    <w:rsid w:val="00621626"/>
    <w:rsid w:val="00624F35"/>
    <w:rsid w:val="006353B0"/>
    <w:rsid w:val="0064328B"/>
    <w:rsid w:val="00671FD8"/>
    <w:rsid w:val="006754D0"/>
    <w:rsid w:val="0068042C"/>
    <w:rsid w:val="006847F8"/>
    <w:rsid w:val="00692B63"/>
    <w:rsid w:val="006A0094"/>
    <w:rsid w:val="006A0E18"/>
    <w:rsid w:val="006B0776"/>
    <w:rsid w:val="006C16E1"/>
    <w:rsid w:val="006F4665"/>
    <w:rsid w:val="007156E9"/>
    <w:rsid w:val="00732806"/>
    <w:rsid w:val="0073618E"/>
    <w:rsid w:val="00736701"/>
    <w:rsid w:val="0073674C"/>
    <w:rsid w:val="007A3CD8"/>
    <w:rsid w:val="007A4990"/>
    <w:rsid w:val="007A532B"/>
    <w:rsid w:val="007B0961"/>
    <w:rsid w:val="007C5D68"/>
    <w:rsid w:val="007C79BF"/>
    <w:rsid w:val="007F4FD8"/>
    <w:rsid w:val="00813E7E"/>
    <w:rsid w:val="00886127"/>
    <w:rsid w:val="008C14BF"/>
    <w:rsid w:val="008C5351"/>
    <w:rsid w:val="008E07C2"/>
    <w:rsid w:val="00906907"/>
    <w:rsid w:val="009463C6"/>
    <w:rsid w:val="009718FE"/>
    <w:rsid w:val="00976597"/>
    <w:rsid w:val="00981DA3"/>
    <w:rsid w:val="00996088"/>
    <w:rsid w:val="009B7C32"/>
    <w:rsid w:val="009E450B"/>
    <w:rsid w:val="00A00569"/>
    <w:rsid w:val="00A34F0E"/>
    <w:rsid w:val="00A54F25"/>
    <w:rsid w:val="00A54FF0"/>
    <w:rsid w:val="00A63A05"/>
    <w:rsid w:val="00A761C8"/>
    <w:rsid w:val="00A83A11"/>
    <w:rsid w:val="00A95E4B"/>
    <w:rsid w:val="00AE642C"/>
    <w:rsid w:val="00AF0CE2"/>
    <w:rsid w:val="00AF0EE2"/>
    <w:rsid w:val="00AF7F06"/>
    <w:rsid w:val="00B27A5B"/>
    <w:rsid w:val="00B92BF5"/>
    <w:rsid w:val="00B96CD5"/>
    <w:rsid w:val="00BB2624"/>
    <w:rsid w:val="00BC3E2A"/>
    <w:rsid w:val="00BC7025"/>
    <w:rsid w:val="00BD15A1"/>
    <w:rsid w:val="00BE06A2"/>
    <w:rsid w:val="00C066AB"/>
    <w:rsid w:val="00C5714B"/>
    <w:rsid w:val="00C61A8F"/>
    <w:rsid w:val="00C8015E"/>
    <w:rsid w:val="00CA4D6F"/>
    <w:rsid w:val="00CA66B8"/>
    <w:rsid w:val="00CE75D1"/>
    <w:rsid w:val="00D32FFC"/>
    <w:rsid w:val="00DA04D5"/>
    <w:rsid w:val="00DA44B9"/>
    <w:rsid w:val="00DF07A2"/>
    <w:rsid w:val="00E14DA6"/>
    <w:rsid w:val="00E4469F"/>
    <w:rsid w:val="00E55BF0"/>
    <w:rsid w:val="00E72AE2"/>
    <w:rsid w:val="00E83121"/>
    <w:rsid w:val="00E936FF"/>
    <w:rsid w:val="00E97227"/>
    <w:rsid w:val="00EA44FF"/>
    <w:rsid w:val="00EA750C"/>
    <w:rsid w:val="00EB2E90"/>
    <w:rsid w:val="00EE48E3"/>
    <w:rsid w:val="00EE6397"/>
    <w:rsid w:val="00EE6F09"/>
    <w:rsid w:val="00F04033"/>
    <w:rsid w:val="00F150DB"/>
    <w:rsid w:val="00F21D15"/>
    <w:rsid w:val="00F301A9"/>
    <w:rsid w:val="00FB4CCA"/>
    <w:rsid w:val="00FC42B0"/>
    <w:rsid w:val="00FE5C7B"/>
    <w:rsid w:val="00F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C41F"/>
  <w15:chartTrackingRefBased/>
  <w15:docId w15:val="{F95397BE-E0D2-4AC5-A1CD-2CB35CAB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7F8"/>
    <w:pPr>
      <w:ind w:left="720"/>
      <w:contextualSpacing/>
    </w:pPr>
  </w:style>
  <w:style w:type="character" w:styleId="CommentReference">
    <w:name w:val="annotation reference"/>
    <w:basedOn w:val="DefaultParagraphFont"/>
    <w:uiPriority w:val="99"/>
    <w:semiHidden/>
    <w:unhideWhenUsed/>
    <w:rsid w:val="005A2A8C"/>
    <w:rPr>
      <w:sz w:val="16"/>
      <w:szCs w:val="16"/>
    </w:rPr>
  </w:style>
  <w:style w:type="paragraph" w:styleId="CommentText">
    <w:name w:val="annotation text"/>
    <w:basedOn w:val="Normal"/>
    <w:link w:val="CommentTextChar"/>
    <w:uiPriority w:val="99"/>
    <w:unhideWhenUsed/>
    <w:rsid w:val="005A2A8C"/>
    <w:rPr>
      <w:sz w:val="20"/>
      <w:szCs w:val="20"/>
    </w:rPr>
  </w:style>
  <w:style w:type="character" w:customStyle="1" w:styleId="CommentTextChar">
    <w:name w:val="Comment Text Char"/>
    <w:basedOn w:val="DefaultParagraphFont"/>
    <w:link w:val="CommentText"/>
    <w:uiPriority w:val="99"/>
    <w:rsid w:val="005A2A8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A2A8C"/>
    <w:rPr>
      <w:b/>
      <w:bCs/>
    </w:rPr>
  </w:style>
  <w:style w:type="character" w:customStyle="1" w:styleId="CommentSubjectChar">
    <w:name w:val="Comment Subject Char"/>
    <w:basedOn w:val="CommentTextChar"/>
    <w:link w:val="CommentSubject"/>
    <w:uiPriority w:val="99"/>
    <w:semiHidden/>
    <w:rsid w:val="005A2A8C"/>
    <w:rPr>
      <w:rFonts w:ascii="Calibri" w:hAnsi="Calibri" w:cs="Calibri"/>
      <w:b/>
      <w:bCs/>
      <w:sz w:val="20"/>
      <w:szCs w:val="20"/>
    </w:rPr>
  </w:style>
  <w:style w:type="paragraph" w:styleId="BalloonText">
    <w:name w:val="Balloon Text"/>
    <w:basedOn w:val="Normal"/>
    <w:link w:val="BalloonTextChar"/>
    <w:uiPriority w:val="99"/>
    <w:semiHidden/>
    <w:unhideWhenUsed/>
    <w:rsid w:val="005A2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A8C"/>
    <w:rPr>
      <w:rFonts w:ascii="Segoe UI" w:hAnsi="Segoe UI" w:cs="Segoe UI"/>
      <w:sz w:val="18"/>
      <w:szCs w:val="18"/>
    </w:rPr>
  </w:style>
  <w:style w:type="paragraph" w:styleId="Header">
    <w:name w:val="header"/>
    <w:basedOn w:val="Normal"/>
    <w:link w:val="HeaderChar"/>
    <w:uiPriority w:val="99"/>
    <w:unhideWhenUsed/>
    <w:rsid w:val="003A7C95"/>
    <w:pPr>
      <w:tabs>
        <w:tab w:val="center" w:pos="4680"/>
        <w:tab w:val="right" w:pos="9360"/>
      </w:tabs>
    </w:pPr>
  </w:style>
  <w:style w:type="character" w:customStyle="1" w:styleId="HeaderChar">
    <w:name w:val="Header Char"/>
    <w:basedOn w:val="DefaultParagraphFont"/>
    <w:link w:val="Header"/>
    <w:uiPriority w:val="99"/>
    <w:rsid w:val="003A7C95"/>
    <w:rPr>
      <w:rFonts w:ascii="Calibri" w:hAnsi="Calibri" w:cs="Calibri"/>
    </w:rPr>
  </w:style>
  <w:style w:type="paragraph" w:styleId="Footer">
    <w:name w:val="footer"/>
    <w:basedOn w:val="Normal"/>
    <w:link w:val="FooterChar"/>
    <w:uiPriority w:val="99"/>
    <w:unhideWhenUsed/>
    <w:rsid w:val="003A7C95"/>
    <w:pPr>
      <w:tabs>
        <w:tab w:val="center" w:pos="4680"/>
        <w:tab w:val="right" w:pos="9360"/>
      </w:tabs>
    </w:pPr>
  </w:style>
  <w:style w:type="character" w:customStyle="1" w:styleId="FooterChar">
    <w:name w:val="Footer Char"/>
    <w:basedOn w:val="DefaultParagraphFont"/>
    <w:link w:val="Footer"/>
    <w:uiPriority w:val="99"/>
    <w:rsid w:val="003A7C95"/>
    <w:rPr>
      <w:rFonts w:ascii="Calibri" w:hAnsi="Calibri" w:cs="Calibri"/>
    </w:rPr>
  </w:style>
  <w:style w:type="paragraph" w:styleId="Revision">
    <w:name w:val="Revision"/>
    <w:hidden/>
    <w:uiPriority w:val="99"/>
    <w:semiHidden/>
    <w:rsid w:val="00303A0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349702">
      <w:bodyDiv w:val="1"/>
      <w:marLeft w:val="0"/>
      <w:marRight w:val="0"/>
      <w:marTop w:val="0"/>
      <w:marBottom w:val="0"/>
      <w:divBdr>
        <w:top w:val="none" w:sz="0" w:space="0" w:color="auto"/>
        <w:left w:val="none" w:sz="0" w:space="0" w:color="auto"/>
        <w:bottom w:val="none" w:sz="0" w:space="0" w:color="auto"/>
        <w:right w:val="none" w:sz="0" w:space="0" w:color="auto"/>
      </w:divBdr>
    </w:div>
    <w:div w:id="17231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10AB-7906-4BF3-B1B6-6443C788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1428</Words>
  <Characters>8145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Ceagus Clark</dc:creator>
  <cp:keywords/>
  <dc:description/>
  <cp:lastModifiedBy>CClark</cp:lastModifiedBy>
  <cp:revision>2</cp:revision>
  <dcterms:created xsi:type="dcterms:W3CDTF">2019-06-11T16:13:00Z</dcterms:created>
  <dcterms:modified xsi:type="dcterms:W3CDTF">2019-06-11T16:13:00Z</dcterms:modified>
</cp:coreProperties>
</file>